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168" w:rsidRPr="00DC13A7" w:rsidRDefault="00B50121" w:rsidP="00997152">
      <w:pPr>
        <w:spacing w:after="0" w:line="240" w:lineRule="auto"/>
        <w:jc w:val="center"/>
        <w:rPr>
          <w:b/>
          <w:sz w:val="28"/>
          <w:szCs w:val="28"/>
        </w:rPr>
      </w:pPr>
      <w:bookmarkStart w:id="0" w:name="_GoBack"/>
      <w:bookmarkEnd w:id="0"/>
      <w:r>
        <w:rPr>
          <w:b/>
          <w:sz w:val="28"/>
          <w:szCs w:val="28"/>
        </w:rPr>
        <w:t>Proxy Access to GP Online Services</w:t>
      </w:r>
    </w:p>
    <w:p w:rsidR="00B50121" w:rsidRPr="00B50121" w:rsidRDefault="002E0168" w:rsidP="00B50121">
      <w:pPr>
        <w:spacing w:after="0" w:line="240" w:lineRule="auto"/>
        <w:jc w:val="center"/>
      </w:pPr>
      <w:r w:rsidRPr="002E0168">
        <w:t xml:space="preserve">Important Information – Please read before completing a </w:t>
      </w:r>
      <w:r w:rsidR="00B50121" w:rsidRPr="00B50121">
        <w:t>Consent to Proxy Access to GP Online Services from</w:t>
      </w:r>
    </w:p>
    <w:p w:rsidR="00B50121" w:rsidRDefault="00B50121" w:rsidP="00997152">
      <w:pPr>
        <w:spacing w:after="0" w:line="240" w:lineRule="auto"/>
        <w:ind w:left="-142"/>
        <w:rPr>
          <w:b/>
          <w:sz w:val="28"/>
          <w:szCs w:val="28"/>
        </w:rPr>
      </w:pPr>
    </w:p>
    <w:p w:rsidR="00B50121" w:rsidRPr="00B50121" w:rsidRDefault="00B50121" w:rsidP="00B50121">
      <w:pPr>
        <w:spacing w:after="60" w:line="240" w:lineRule="auto"/>
        <w:jc w:val="both"/>
        <w:rPr>
          <w:b/>
          <w:sz w:val="28"/>
          <w:szCs w:val="28"/>
        </w:rPr>
      </w:pPr>
      <w:r w:rsidRPr="00B50121">
        <w:rPr>
          <w:b/>
          <w:sz w:val="28"/>
          <w:szCs w:val="28"/>
        </w:rPr>
        <w:t>What is Proxy Access?</w:t>
      </w:r>
    </w:p>
    <w:p w:rsidR="002B244A" w:rsidRDefault="00B50121" w:rsidP="00920C3C">
      <w:pPr>
        <w:spacing w:after="0" w:line="240" w:lineRule="auto"/>
        <w:jc w:val="both"/>
        <w:rPr>
          <w:rFonts w:cstheme="minorHAnsi"/>
        </w:rPr>
      </w:pPr>
      <w:r>
        <w:t>Patients may choose to use ‘Patient Access’ (online services) such as appointment booking, ordering repeat prescriptions or access</w:t>
      </w:r>
      <w:r w:rsidR="00920C3C">
        <w:t>ing t</w:t>
      </w:r>
      <w:r>
        <w:t xml:space="preserve">heir records. </w:t>
      </w:r>
      <w:r w:rsidR="00920C3C">
        <w:t xml:space="preserve">Patients </w:t>
      </w:r>
      <w:r>
        <w:t>may choose to share their account credentials with family, friends and carers (including a care home) however, this is not recommended by the practice.</w:t>
      </w:r>
      <w:r w:rsidR="002B244A" w:rsidRPr="002B244A">
        <w:rPr>
          <w:rFonts w:cstheme="minorHAnsi"/>
        </w:rPr>
        <w:t xml:space="preserve"> </w:t>
      </w:r>
      <w:r w:rsidR="002B244A" w:rsidRPr="00B50121">
        <w:rPr>
          <w:rFonts w:cstheme="minorHAnsi"/>
        </w:rPr>
        <w:t xml:space="preserve">Patients who choose to share their login details informally should be aware that there will be no audit trail of access </w:t>
      </w:r>
      <w:r w:rsidR="00920C3C">
        <w:rPr>
          <w:rFonts w:cstheme="minorHAnsi"/>
        </w:rPr>
        <w:t>to their record by their proxy and therefore i</w:t>
      </w:r>
      <w:r w:rsidR="002B244A" w:rsidRPr="00B50121">
        <w:rPr>
          <w:rFonts w:cstheme="minorHAnsi"/>
        </w:rPr>
        <w:t>t will not be clear who has been accessing the</w:t>
      </w:r>
      <w:r w:rsidR="00920C3C">
        <w:rPr>
          <w:rFonts w:cstheme="minorHAnsi"/>
        </w:rPr>
        <w:t>ir online records.</w:t>
      </w:r>
      <w:r w:rsidR="002B244A" w:rsidRPr="00B50121">
        <w:rPr>
          <w:rFonts w:cstheme="minorHAnsi"/>
        </w:rPr>
        <w:t xml:space="preserve"> </w:t>
      </w:r>
    </w:p>
    <w:p w:rsidR="00920C3C" w:rsidRDefault="00920C3C" w:rsidP="00920C3C">
      <w:pPr>
        <w:spacing w:after="0" w:line="240" w:lineRule="auto"/>
        <w:jc w:val="both"/>
        <w:rPr>
          <w:rFonts w:cstheme="minorHAnsi"/>
        </w:rPr>
      </w:pPr>
    </w:p>
    <w:p w:rsidR="00B50121" w:rsidRDefault="002B244A" w:rsidP="00920C3C">
      <w:pPr>
        <w:spacing w:after="0" w:line="240" w:lineRule="auto"/>
        <w:jc w:val="both"/>
      </w:pPr>
      <w:r>
        <w:t>P</w:t>
      </w:r>
      <w:r w:rsidR="00B50121">
        <w:t xml:space="preserve">roxy access is the recommended alternative to sharing login details where a named individual </w:t>
      </w:r>
      <w:proofErr w:type="gramStart"/>
      <w:r w:rsidR="00B50121">
        <w:t>is given</w:t>
      </w:r>
      <w:proofErr w:type="gramEnd"/>
      <w:r w:rsidR="00B50121">
        <w:t xml:space="preserve"> their own set of login details for to access the records of another patient.</w:t>
      </w:r>
    </w:p>
    <w:p w:rsidR="00920C3C" w:rsidRDefault="00920C3C" w:rsidP="00920C3C">
      <w:pPr>
        <w:spacing w:after="0" w:line="240" w:lineRule="auto"/>
        <w:jc w:val="both"/>
        <w:rPr>
          <w:rFonts w:cstheme="minorHAnsi"/>
        </w:rPr>
      </w:pPr>
    </w:p>
    <w:p w:rsidR="00B50121" w:rsidRDefault="00B50121" w:rsidP="00920C3C">
      <w:pPr>
        <w:spacing w:after="0" w:line="240" w:lineRule="auto"/>
        <w:jc w:val="both"/>
        <w:rPr>
          <w:rFonts w:cstheme="minorHAnsi"/>
        </w:rPr>
      </w:pPr>
      <w:r w:rsidRPr="002B244A">
        <w:rPr>
          <w:rFonts w:cstheme="minorHAnsi"/>
        </w:rPr>
        <w:t xml:space="preserve">Formal proxy access </w:t>
      </w:r>
      <w:proofErr w:type="gramStart"/>
      <w:r w:rsidRPr="002B244A">
        <w:rPr>
          <w:rFonts w:cstheme="minorHAnsi"/>
        </w:rPr>
        <w:t>can be given</w:t>
      </w:r>
      <w:proofErr w:type="gramEnd"/>
      <w:r w:rsidRPr="002B244A">
        <w:rPr>
          <w:rFonts w:cstheme="minorHAnsi"/>
        </w:rPr>
        <w:t xml:space="preserve"> either with the patient’s express consent or, in cases where the patient lacks capacity to make this decision</w:t>
      </w:r>
      <w:r w:rsidR="002B244A">
        <w:rPr>
          <w:rFonts w:cstheme="minorHAnsi"/>
        </w:rPr>
        <w:t>,</w:t>
      </w:r>
      <w:r w:rsidRPr="002B244A">
        <w:rPr>
          <w:rFonts w:cstheme="minorHAnsi"/>
        </w:rPr>
        <w:t xml:space="preserve"> the GP may authorise proxy access for the best interests o</w:t>
      </w:r>
      <w:r w:rsidR="002B244A">
        <w:rPr>
          <w:rFonts w:cstheme="minorHAnsi"/>
        </w:rPr>
        <w:t>f</w:t>
      </w:r>
      <w:r w:rsidRPr="002B244A">
        <w:rPr>
          <w:rFonts w:cstheme="minorHAnsi"/>
        </w:rPr>
        <w:t xml:space="preserve"> the patient.  This will be decided on a case-by-case basis at the discretion of the GP.</w:t>
      </w:r>
    </w:p>
    <w:p w:rsidR="00920C3C" w:rsidRDefault="00920C3C" w:rsidP="00920C3C">
      <w:pPr>
        <w:spacing w:after="0" w:line="240" w:lineRule="auto"/>
        <w:jc w:val="both"/>
        <w:rPr>
          <w:rFonts w:cstheme="minorHAnsi"/>
        </w:rPr>
      </w:pPr>
    </w:p>
    <w:p w:rsidR="002B244A" w:rsidRDefault="002B244A" w:rsidP="00920C3C">
      <w:pPr>
        <w:spacing w:after="0" w:line="240" w:lineRule="auto"/>
        <w:jc w:val="both"/>
        <w:rPr>
          <w:rFonts w:cstheme="minorHAnsi"/>
        </w:rPr>
      </w:pPr>
      <w:r w:rsidRPr="002B244A">
        <w:rPr>
          <w:rFonts w:cstheme="minorHAnsi"/>
        </w:rPr>
        <w:t>Legitimate reasons for the practice to authorise proxy access without a patient’s consent include:</w:t>
      </w:r>
    </w:p>
    <w:p w:rsidR="00920C3C" w:rsidRPr="002B244A" w:rsidRDefault="00920C3C" w:rsidP="00920C3C">
      <w:pPr>
        <w:spacing w:after="0" w:line="240" w:lineRule="auto"/>
        <w:jc w:val="both"/>
        <w:rPr>
          <w:rFonts w:cstheme="minorHAnsi"/>
        </w:rPr>
      </w:pPr>
    </w:p>
    <w:p w:rsidR="002B244A" w:rsidRPr="002B244A" w:rsidRDefault="002B244A" w:rsidP="00920C3C">
      <w:pPr>
        <w:spacing w:after="0" w:line="240" w:lineRule="auto"/>
        <w:jc w:val="both"/>
        <w:rPr>
          <w:rFonts w:cstheme="minorHAnsi"/>
        </w:rPr>
      </w:pPr>
      <w:r w:rsidRPr="002B244A">
        <w:rPr>
          <w:rFonts w:cstheme="minorHAnsi"/>
        </w:rPr>
        <w:t xml:space="preserve">The patient </w:t>
      </w:r>
      <w:proofErr w:type="gramStart"/>
      <w:r w:rsidRPr="002B244A">
        <w:rPr>
          <w:rFonts w:cstheme="minorHAnsi"/>
        </w:rPr>
        <w:t>has been assessed</w:t>
      </w:r>
      <w:proofErr w:type="gramEnd"/>
      <w:r w:rsidRPr="002B244A">
        <w:rPr>
          <w:rFonts w:cstheme="minorHAnsi"/>
        </w:rPr>
        <w:t xml:space="preserve"> as lacking capacity to make a decision on granting proxy access and…</w:t>
      </w:r>
    </w:p>
    <w:p w:rsidR="002B244A" w:rsidRPr="002B244A" w:rsidRDefault="002B244A" w:rsidP="00920C3C">
      <w:pPr>
        <w:pStyle w:val="ListParagraph"/>
        <w:numPr>
          <w:ilvl w:val="0"/>
          <w:numId w:val="7"/>
        </w:numPr>
        <w:autoSpaceDE w:val="0"/>
        <w:autoSpaceDN w:val="0"/>
        <w:adjustRightInd w:val="0"/>
        <w:spacing w:after="0" w:line="240" w:lineRule="auto"/>
        <w:ind w:left="284" w:hanging="284"/>
        <w:jc w:val="both"/>
        <w:rPr>
          <w:rFonts w:cstheme="minorHAnsi"/>
        </w:rPr>
      </w:pPr>
      <w:r w:rsidRPr="002B244A">
        <w:rPr>
          <w:rFonts w:cstheme="minorHAnsi"/>
        </w:rPr>
        <w:t>has registered the applicant as a lasting power of attorney for health and welfare with the Office of the Public Guardian; or</w:t>
      </w:r>
    </w:p>
    <w:p w:rsidR="002B244A" w:rsidRPr="002B244A" w:rsidRDefault="002B244A" w:rsidP="00920C3C">
      <w:pPr>
        <w:pStyle w:val="ListParagraph"/>
        <w:numPr>
          <w:ilvl w:val="0"/>
          <w:numId w:val="7"/>
        </w:numPr>
        <w:autoSpaceDE w:val="0"/>
        <w:autoSpaceDN w:val="0"/>
        <w:adjustRightInd w:val="0"/>
        <w:spacing w:after="0" w:line="240" w:lineRule="auto"/>
        <w:ind w:left="284" w:hanging="284"/>
        <w:jc w:val="both"/>
        <w:rPr>
          <w:rFonts w:cstheme="minorHAnsi"/>
        </w:rPr>
      </w:pPr>
      <w:r w:rsidRPr="002B244A">
        <w:rPr>
          <w:rFonts w:cstheme="minorHAnsi"/>
        </w:rPr>
        <w:t>the applicant is acting as a Court Appointed Deputy on behalf of the patient; or</w:t>
      </w:r>
    </w:p>
    <w:p w:rsidR="002B244A" w:rsidRPr="002B244A" w:rsidRDefault="002B244A" w:rsidP="00920C3C">
      <w:pPr>
        <w:pStyle w:val="ListParagraph"/>
        <w:numPr>
          <w:ilvl w:val="0"/>
          <w:numId w:val="7"/>
        </w:numPr>
        <w:autoSpaceDE w:val="0"/>
        <w:autoSpaceDN w:val="0"/>
        <w:adjustRightInd w:val="0"/>
        <w:spacing w:after="0" w:line="240" w:lineRule="auto"/>
        <w:ind w:left="284" w:hanging="284"/>
        <w:jc w:val="both"/>
        <w:rPr>
          <w:rFonts w:cstheme="minorHAnsi"/>
        </w:rPr>
      </w:pPr>
      <w:r w:rsidRPr="002B244A">
        <w:rPr>
          <w:rFonts w:cstheme="minorHAnsi"/>
        </w:rPr>
        <w:t>in accordance with the Mental Capacity Act 2005 code of practice, the GP considers it in the patient’s best interests to grant the requested access</w:t>
      </w:r>
    </w:p>
    <w:p w:rsidR="00920C3C" w:rsidRDefault="00920C3C" w:rsidP="002B244A">
      <w:pPr>
        <w:spacing w:after="240" w:line="240" w:lineRule="auto"/>
        <w:jc w:val="both"/>
        <w:rPr>
          <w:rFonts w:cstheme="minorHAnsi"/>
        </w:rPr>
      </w:pPr>
    </w:p>
    <w:p w:rsidR="002B244A" w:rsidRPr="002B244A" w:rsidRDefault="002B244A" w:rsidP="00920C3C">
      <w:pPr>
        <w:spacing w:after="0" w:line="240" w:lineRule="auto"/>
        <w:jc w:val="both"/>
        <w:rPr>
          <w:rFonts w:cstheme="minorHAnsi"/>
        </w:rPr>
      </w:pPr>
      <w:r w:rsidRPr="002B244A">
        <w:rPr>
          <w:rFonts w:cstheme="minorHAnsi"/>
        </w:rPr>
        <w:t xml:space="preserve">The GP will review requests for Proxy access on an individual basis.  Proxy access will not </w:t>
      </w:r>
      <w:proofErr w:type="gramStart"/>
      <w:r w:rsidRPr="002B244A">
        <w:rPr>
          <w:rFonts w:cstheme="minorHAnsi"/>
        </w:rPr>
        <w:t>be granted</w:t>
      </w:r>
      <w:proofErr w:type="gramEnd"/>
      <w:r w:rsidRPr="002B244A">
        <w:rPr>
          <w:rFonts w:cstheme="minorHAnsi"/>
        </w:rPr>
        <w:t xml:space="preserve"> / will be withdrawn if:</w:t>
      </w:r>
    </w:p>
    <w:p w:rsidR="002B244A" w:rsidRPr="002B244A" w:rsidRDefault="002B244A" w:rsidP="00920C3C">
      <w:pPr>
        <w:pStyle w:val="ListParagraph"/>
        <w:numPr>
          <w:ilvl w:val="0"/>
          <w:numId w:val="8"/>
        </w:numPr>
        <w:spacing w:after="0" w:line="240" w:lineRule="auto"/>
        <w:ind w:left="284" w:hanging="284"/>
        <w:jc w:val="both"/>
        <w:rPr>
          <w:rFonts w:cstheme="minorHAnsi"/>
        </w:rPr>
      </w:pPr>
      <w:r w:rsidRPr="002B244A">
        <w:rPr>
          <w:rFonts w:cstheme="minorHAnsi"/>
        </w:rPr>
        <w:t>The patient has previously expressed a wish that if they lose capacity, proxy access should not be granted to the individual;</w:t>
      </w:r>
    </w:p>
    <w:p w:rsidR="002B244A" w:rsidRPr="002B244A" w:rsidRDefault="002B244A" w:rsidP="00920C3C">
      <w:pPr>
        <w:pStyle w:val="ListParagraph"/>
        <w:numPr>
          <w:ilvl w:val="0"/>
          <w:numId w:val="8"/>
        </w:numPr>
        <w:spacing w:after="0" w:line="240" w:lineRule="auto"/>
        <w:ind w:left="284" w:hanging="284"/>
        <w:jc w:val="both"/>
        <w:rPr>
          <w:rFonts w:cstheme="minorHAnsi"/>
        </w:rPr>
      </w:pPr>
      <w:r w:rsidRPr="002B244A">
        <w:rPr>
          <w:rFonts w:cstheme="minorHAnsi"/>
        </w:rPr>
        <w:t>It is not in the best interest of the patient;</w:t>
      </w:r>
    </w:p>
    <w:p w:rsidR="002B244A" w:rsidRPr="002B244A" w:rsidRDefault="002B244A" w:rsidP="002B244A">
      <w:pPr>
        <w:pStyle w:val="ListParagraph"/>
        <w:numPr>
          <w:ilvl w:val="0"/>
          <w:numId w:val="8"/>
        </w:numPr>
        <w:spacing w:after="120" w:line="240" w:lineRule="auto"/>
        <w:ind w:left="284" w:hanging="284"/>
        <w:jc w:val="both"/>
        <w:rPr>
          <w:rFonts w:cstheme="minorHAnsi"/>
        </w:rPr>
      </w:pPr>
      <w:r w:rsidRPr="002B244A">
        <w:rPr>
          <w:rFonts w:cstheme="minorHAnsi"/>
        </w:rPr>
        <w:t xml:space="preserve">A GP or other health professional suspects that the patient is vulnerable to or already subject to coercion; </w:t>
      </w:r>
    </w:p>
    <w:p w:rsidR="002B244A" w:rsidRPr="002B244A" w:rsidRDefault="002B244A" w:rsidP="002B244A">
      <w:pPr>
        <w:pStyle w:val="ListParagraph"/>
        <w:numPr>
          <w:ilvl w:val="0"/>
          <w:numId w:val="8"/>
        </w:numPr>
        <w:spacing w:after="0" w:line="240" w:lineRule="auto"/>
        <w:ind w:left="284" w:hanging="284"/>
        <w:jc w:val="both"/>
        <w:rPr>
          <w:rFonts w:cstheme="minorHAnsi"/>
        </w:rPr>
      </w:pPr>
      <w:r w:rsidRPr="002B244A">
        <w:rPr>
          <w:rFonts w:cstheme="minorHAnsi"/>
        </w:rPr>
        <w:t>The practice staff believe that there is a risk to the security of the patient’s record by the person being considered for proxy access and record their concern; or</w:t>
      </w:r>
    </w:p>
    <w:p w:rsidR="002B244A" w:rsidRPr="002B244A" w:rsidRDefault="002B244A" w:rsidP="002B244A">
      <w:pPr>
        <w:pStyle w:val="ListParagraph"/>
        <w:numPr>
          <w:ilvl w:val="0"/>
          <w:numId w:val="8"/>
        </w:numPr>
        <w:spacing w:after="240" w:line="240" w:lineRule="auto"/>
        <w:ind w:left="284" w:hanging="284"/>
        <w:jc w:val="both"/>
        <w:rPr>
          <w:rFonts w:cstheme="minorHAnsi"/>
        </w:rPr>
      </w:pPr>
      <w:r w:rsidRPr="002B244A">
        <w:rPr>
          <w:rFonts w:cstheme="minorHAnsi"/>
        </w:rPr>
        <w:t>The patient withdraws their consent to allowing proxy access to the Patient Online Services</w:t>
      </w:r>
    </w:p>
    <w:p w:rsidR="002B244A" w:rsidRDefault="002B244A" w:rsidP="002B244A">
      <w:pPr>
        <w:autoSpaceDE w:val="0"/>
        <w:autoSpaceDN w:val="0"/>
        <w:adjustRightInd w:val="0"/>
        <w:spacing w:after="0"/>
        <w:ind w:left="-142"/>
        <w:rPr>
          <w:rFonts w:cstheme="minorHAnsi"/>
          <w:b/>
          <w:bCs/>
          <w:sz w:val="28"/>
          <w:szCs w:val="28"/>
        </w:rPr>
      </w:pPr>
      <w:r>
        <w:rPr>
          <w:rFonts w:cstheme="minorHAnsi"/>
          <w:b/>
          <w:bCs/>
          <w:sz w:val="28"/>
          <w:szCs w:val="28"/>
        </w:rPr>
        <w:t>Online Access to patients under the age of 18</w:t>
      </w:r>
    </w:p>
    <w:p w:rsidR="002B244A" w:rsidRPr="003556CA" w:rsidRDefault="002B244A" w:rsidP="002B244A">
      <w:pPr>
        <w:autoSpaceDE w:val="0"/>
        <w:autoSpaceDN w:val="0"/>
        <w:adjustRightInd w:val="0"/>
        <w:ind w:left="-142"/>
        <w:rPr>
          <w:rFonts w:cstheme="minorHAnsi"/>
        </w:rPr>
      </w:pPr>
      <w:r>
        <w:rPr>
          <w:rFonts w:ascii="Calibri" w:hAnsi="Calibri" w:cs="Calibri"/>
          <w:color w:val="000000"/>
        </w:rPr>
        <w:t xml:space="preserve">Unfortunately, we are unable to provide parents access to their children’s record. Children under the age of 16 (normally within the ages of 12-16) </w:t>
      </w:r>
      <w:proofErr w:type="gramStart"/>
      <w:r>
        <w:rPr>
          <w:rFonts w:ascii="Calibri" w:hAnsi="Calibri" w:cs="Calibri"/>
          <w:color w:val="000000"/>
        </w:rPr>
        <w:t>will be considered</w:t>
      </w:r>
      <w:proofErr w:type="gramEnd"/>
      <w:r>
        <w:rPr>
          <w:rFonts w:ascii="Calibri" w:hAnsi="Calibri" w:cs="Calibri"/>
          <w:color w:val="000000"/>
        </w:rPr>
        <w:t xml:space="preserve"> to be “competent Minors” and may give or withhold consent for parents to access their records.  Therefore, we are only allowing patients to view their online medical record if they are aged 18 or over due to confidentiality. If you feel you should be able to view your Childs record please contact the surgery to discuss this.</w:t>
      </w:r>
    </w:p>
    <w:sectPr w:rsidR="002B244A" w:rsidRPr="003556C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D74" w:rsidRDefault="00C94D74" w:rsidP="00B369AF">
      <w:pPr>
        <w:spacing w:after="0" w:line="240" w:lineRule="auto"/>
      </w:pPr>
      <w:r>
        <w:separator/>
      </w:r>
    </w:p>
  </w:endnote>
  <w:endnote w:type="continuationSeparator" w:id="0">
    <w:p w:rsidR="00C94D74" w:rsidRDefault="00C94D74" w:rsidP="00B3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508847"/>
      <w:docPartObj>
        <w:docPartGallery w:val="Page Numbers (Bottom of Page)"/>
        <w:docPartUnique/>
      </w:docPartObj>
    </w:sdtPr>
    <w:sdtEndPr>
      <w:rPr>
        <w:noProof/>
      </w:rPr>
    </w:sdtEndPr>
    <w:sdtContent>
      <w:p w:rsidR="00F06D10" w:rsidRDefault="00F06D10" w:rsidP="00592F88">
        <w:pPr>
          <w:pStyle w:val="Footer"/>
          <w:jc w:val="right"/>
        </w:pPr>
        <w:r>
          <w:fldChar w:fldCharType="begin"/>
        </w:r>
        <w:r>
          <w:instrText xml:space="preserve"> PAGE   \* MERGEFORMAT </w:instrText>
        </w:r>
        <w:r>
          <w:fldChar w:fldCharType="separate"/>
        </w:r>
        <w:r w:rsidR="00C3709D">
          <w:rPr>
            <w:noProof/>
          </w:rPr>
          <w:t>1</w:t>
        </w:r>
        <w:r>
          <w:rPr>
            <w:noProof/>
          </w:rPr>
          <w:fldChar w:fldCharType="end"/>
        </w:r>
      </w:p>
    </w:sdtContent>
  </w:sdt>
  <w:p w:rsidR="00592F88" w:rsidRPr="00592F88" w:rsidRDefault="002B244A" w:rsidP="00592F88">
    <w:pPr>
      <w:spacing w:after="0" w:line="240" w:lineRule="auto"/>
    </w:pPr>
    <w:r w:rsidRPr="002B244A">
      <w:t>Proxy Access to GP Online Services</w:t>
    </w:r>
    <w:r>
      <w:t xml:space="preserve"> </w:t>
    </w:r>
    <w:r w:rsidR="00592F88">
      <w:t>– May 2021</w:t>
    </w:r>
  </w:p>
  <w:p w:rsidR="00830294" w:rsidRDefault="00830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D74" w:rsidRDefault="00C94D74" w:rsidP="00B369AF">
      <w:pPr>
        <w:spacing w:after="0" w:line="240" w:lineRule="auto"/>
      </w:pPr>
      <w:r>
        <w:separator/>
      </w:r>
    </w:p>
  </w:footnote>
  <w:footnote w:type="continuationSeparator" w:id="0">
    <w:p w:rsidR="00C94D74" w:rsidRDefault="00C94D74" w:rsidP="00B36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9AF" w:rsidRDefault="00B369AF">
    <w:pPr>
      <w:pStyle w:val="Header"/>
    </w:pPr>
    <w:r w:rsidRPr="00B369AF">
      <w:rPr>
        <w:noProof/>
        <w:lang w:eastAsia="en-GB"/>
      </w:rPr>
      <w:drawing>
        <wp:anchor distT="0" distB="0" distL="114300" distR="114300" simplePos="0" relativeHeight="251658240" behindDoc="0" locked="0" layoutInCell="1" allowOverlap="1">
          <wp:simplePos x="0" y="0"/>
          <wp:positionH relativeFrom="column">
            <wp:posOffset>3600450</wp:posOffset>
          </wp:positionH>
          <wp:positionV relativeFrom="paragraph">
            <wp:posOffset>-335280</wp:posOffset>
          </wp:positionV>
          <wp:extent cx="2667000" cy="714375"/>
          <wp:effectExtent l="0" t="0" r="0" b="9525"/>
          <wp:wrapSquare wrapText="bothSides"/>
          <wp:docPr id="1" name="Picture 1" descr="C:\Users\kayleigh.pashley\Desktop\woolpit-health-cent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leigh.pashley\Desktop\woolpit-health-cent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C82076"/>
    <w:multiLevelType w:val="hybridMultilevel"/>
    <w:tmpl w:val="96245FCC"/>
    <w:lvl w:ilvl="0" w:tplc="76BA48FE">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09B3173"/>
    <w:multiLevelType w:val="hybridMultilevel"/>
    <w:tmpl w:val="821A8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1BB08F7"/>
    <w:multiLevelType w:val="hybridMultilevel"/>
    <w:tmpl w:val="D702FBD6"/>
    <w:lvl w:ilvl="0" w:tplc="2D88254A">
      <w:start w:val="1"/>
      <w:numFmt w:val="bullet"/>
      <w:lvlText w:val="-"/>
      <w:lvlJc w:val="left"/>
      <w:pPr>
        <w:ind w:left="400" w:hanging="360"/>
      </w:pPr>
      <w:rPr>
        <w:rFonts w:ascii="Calibri" w:eastAsiaTheme="minorHAnsi"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4" w15:restartNumberingAfterBreak="0">
    <w:nsid w:val="653E391B"/>
    <w:multiLevelType w:val="hybridMultilevel"/>
    <w:tmpl w:val="17C8D588"/>
    <w:lvl w:ilvl="0" w:tplc="6164B74A">
      <w:start w:val="1"/>
      <w:numFmt w:val="bullet"/>
      <w:lvlText w:val="-"/>
      <w:lvlJc w:val="left"/>
      <w:pPr>
        <w:ind w:left="218" w:hanging="360"/>
      </w:pPr>
      <w:rPr>
        <w:rFonts w:ascii="Calibri" w:eastAsiaTheme="minorHAnsi" w:hAnsi="Calibri" w:cs="Calibri" w:hint="default"/>
        <w:b w:val="0"/>
        <w:color w:val="000000"/>
        <w:sz w:val="22"/>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5" w15:restartNumberingAfterBreak="0">
    <w:nsid w:val="7538359E"/>
    <w:multiLevelType w:val="hybridMultilevel"/>
    <w:tmpl w:val="55FAEBAE"/>
    <w:lvl w:ilvl="0" w:tplc="1C9CF89C">
      <w:start w:val="1"/>
      <w:numFmt w:val="bullet"/>
      <w:lvlText w:val=""/>
      <w:lvlJc w:val="left"/>
      <w:pPr>
        <w:ind w:left="720" w:hanging="360"/>
      </w:pPr>
      <w:rPr>
        <w:rFonts w:ascii="Symbol" w:hAnsi="Symbol" w:hint="default"/>
        <w:color w:val="595959" w:themeColor="text1" w:themeTint="A6"/>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7110684"/>
    <w:multiLevelType w:val="hybridMultilevel"/>
    <w:tmpl w:val="92D2EB86"/>
    <w:lvl w:ilvl="0" w:tplc="E5D22E5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F5020"/>
    <w:multiLevelType w:val="hybridMultilevel"/>
    <w:tmpl w:val="980224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AF"/>
    <w:rsid w:val="000068A3"/>
    <w:rsid w:val="00063A49"/>
    <w:rsid w:val="00101324"/>
    <w:rsid w:val="0013408B"/>
    <w:rsid w:val="0018219B"/>
    <w:rsid w:val="00214749"/>
    <w:rsid w:val="002279EF"/>
    <w:rsid w:val="002375DE"/>
    <w:rsid w:val="002B244A"/>
    <w:rsid w:val="002B5659"/>
    <w:rsid w:val="002E0168"/>
    <w:rsid w:val="002E0A1E"/>
    <w:rsid w:val="00306B05"/>
    <w:rsid w:val="00327D3A"/>
    <w:rsid w:val="003556CA"/>
    <w:rsid w:val="00392C7D"/>
    <w:rsid w:val="003B1870"/>
    <w:rsid w:val="003F5668"/>
    <w:rsid w:val="004D1A5F"/>
    <w:rsid w:val="00592F88"/>
    <w:rsid w:val="006D6324"/>
    <w:rsid w:val="006E4807"/>
    <w:rsid w:val="0075323B"/>
    <w:rsid w:val="007F02DD"/>
    <w:rsid w:val="00830294"/>
    <w:rsid w:val="00835803"/>
    <w:rsid w:val="00920C3C"/>
    <w:rsid w:val="00997152"/>
    <w:rsid w:val="00A56ECE"/>
    <w:rsid w:val="00AD4A07"/>
    <w:rsid w:val="00B367FA"/>
    <w:rsid w:val="00B369AF"/>
    <w:rsid w:val="00B50121"/>
    <w:rsid w:val="00BD4D1C"/>
    <w:rsid w:val="00C27643"/>
    <w:rsid w:val="00C3709D"/>
    <w:rsid w:val="00C822D2"/>
    <w:rsid w:val="00C94D74"/>
    <w:rsid w:val="00CC46F8"/>
    <w:rsid w:val="00D21249"/>
    <w:rsid w:val="00D37F7B"/>
    <w:rsid w:val="00DC13A7"/>
    <w:rsid w:val="00E36072"/>
    <w:rsid w:val="00E405AB"/>
    <w:rsid w:val="00E41AF4"/>
    <w:rsid w:val="00F06D10"/>
    <w:rsid w:val="00F21B82"/>
    <w:rsid w:val="00F4072C"/>
    <w:rsid w:val="00F456DC"/>
    <w:rsid w:val="00F72980"/>
    <w:rsid w:val="00FE4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B2EF1E0-62A1-4B50-914F-8FAF0E3F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9715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9AF"/>
  </w:style>
  <w:style w:type="paragraph" w:styleId="Footer">
    <w:name w:val="footer"/>
    <w:basedOn w:val="Normal"/>
    <w:link w:val="FooterChar"/>
    <w:uiPriority w:val="99"/>
    <w:unhideWhenUsed/>
    <w:rsid w:val="00B36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9AF"/>
  </w:style>
  <w:style w:type="table" w:styleId="TableGrid">
    <w:name w:val="Table Grid"/>
    <w:basedOn w:val="TableNormal"/>
    <w:uiPriority w:val="59"/>
    <w:rsid w:val="002B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uiPriority w:val="99"/>
    <w:unhideWhenUsed/>
    <w:rsid w:val="002B5659"/>
    <w:pPr>
      <w:numPr>
        <w:numId w:val="1"/>
      </w:numPr>
      <w:tabs>
        <w:tab w:val="num" w:pos="360"/>
      </w:tabs>
      <w:spacing w:before="120" w:line="240" w:lineRule="auto"/>
      <w:ind w:left="0" w:firstLine="0"/>
    </w:pPr>
    <w:rPr>
      <w:rFonts w:ascii="Calibri" w:eastAsia="Calibri" w:hAnsi="Calibri" w:cs="Times New Roman"/>
      <w:color w:val="0F243E" w:themeColor="text2" w:themeShade="80"/>
      <w:sz w:val="24"/>
      <w:szCs w:val="26"/>
      <w:lang w:eastAsia="en-GB"/>
    </w:rPr>
  </w:style>
  <w:style w:type="paragraph" w:customStyle="1" w:styleId="TickBox">
    <w:name w:val="Tick Box"/>
    <w:basedOn w:val="BodyText"/>
    <w:qFormat/>
    <w:rsid w:val="002B5659"/>
    <w:pPr>
      <w:spacing w:before="120" w:line="240" w:lineRule="auto"/>
      <w:jc w:val="center"/>
    </w:pPr>
    <w:rPr>
      <w:rFonts w:ascii="Calibri" w:eastAsia="Calibri" w:hAnsi="Calibri" w:cs="Times New Roman"/>
      <w:color w:val="0F243E" w:themeColor="text2" w:themeShade="80"/>
      <w:sz w:val="32"/>
      <w:szCs w:val="26"/>
      <w:lang w:eastAsia="en-GB"/>
    </w:rPr>
  </w:style>
  <w:style w:type="paragraph" w:styleId="BodyText">
    <w:name w:val="Body Text"/>
    <w:basedOn w:val="Normal"/>
    <w:link w:val="BodyTextChar"/>
    <w:uiPriority w:val="99"/>
    <w:semiHidden/>
    <w:unhideWhenUsed/>
    <w:rsid w:val="002B5659"/>
    <w:pPr>
      <w:spacing w:after="120"/>
    </w:pPr>
  </w:style>
  <w:style w:type="character" w:customStyle="1" w:styleId="BodyTextChar">
    <w:name w:val="Body Text Char"/>
    <w:basedOn w:val="DefaultParagraphFont"/>
    <w:link w:val="BodyText"/>
    <w:uiPriority w:val="99"/>
    <w:semiHidden/>
    <w:rsid w:val="002B5659"/>
  </w:style>
  <w:style w:type="paragraph" w:styleId="NormalWeb">
    <w:name w:val="Normal (Web)"/>
    <w:basedOn w:val="Normal"/>
    <w:uiPriority w:val="99"/>
    <w:unhideWhenUsed/>
    <w:rsid w:val="002E01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D4D1C"/>
    <w:pPr>
      <w:ind w:left="720"/>
      <w:contextualSpacing/>
    </w:pPr>
  </w:style>
  <w:style w:type="character" w:customStyle="1" w:styleId="Heading2Char">
    <w:name w:val="Heading 2 Char"/>
    <w:basedOn w:val="DefaultParagraphFont"/>
    <w:link w:val="Heading2"/>
    <w:uiPriority w:val="9"/>
    <w:rsid w:val="00997152"/>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997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7152"/>
    <w:pPr>
      <w:spacing w:after="0" w:line="240" w:lineRule="auto"/>
    </w:pPr>
  </w:style>
  <w:style w:type="paragraph" w:styleId="BalloonText">
    <w:name w:val="Balloon Text"/>
    <w:basedOn w:val="Normal"/>
    <w:link w:val="BalloonTextChar"/>
    <w:uiPriority w:val="99"/>
    <w:semiHidden/>
    <w:unhideWhenUsed/>
    <w:rsid w:val="00997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89325">
      <w:bodyDiv w:val="1"/>
      <w:marLeft w:val="0"/>
      <w:marRight w:val="0"/>
      <w:marTop w:val="0"/>
      <w:marBottom w:val="0"/>
      <w:divBdr>
        <w:top w:val="none" w:sz="0" w:space="0" w:color="auto"/>
        <w:left w:val="none" w:sz="0" w:space="0" w:color="auto"/>
        <w:bottom w:val="none" w:sz="0" w:space="0" w:color="auto"/>
        <w:right w:val="none" w:sz="0" w:space="0" w:color="auto"/>
      </w:divBdr>
    </w:div>
    <w:div w:id="787087404">
      <w:bodyDiv w:val="1"/>
      <w:marLeft w:val="0"/>
      <w:marRight w:val="0"/>
      <w:marTop w:val="0"/>
      <w:marBottom w:val="0"/>
      <w:divBdr>
        <w:top w:val="none" w:sz="0" w:space="0" w:color="auto"/>
        <w:left w:val="none" w:sz="0" w:space="0" w:color="auto"/>
        <w:bottom w:val="none" w:sz="0" w:space="0" w:color="auto"/>
        <w:right w:val="none" w:sz="0" w:space="0" w:color="auto"/>
      </w:divBdr>
    </w:div>
    <w:div w:id="1401319485">
      <w:bodyDiv w:val="1"/>
      <w:marLeft w:val="0"/>
      <w:marRight w:val="0"/>
      <w:marTop w:val="0"/>
      <w:marBottom w:val="0"/>
      <w:divBdr>
        <w:top w:val="none" w:sz="0" w:space="0" w:color="auto"/>
        <w:left w:val="none" w:sz="0" w:space="0" w:color="auto"/>
        <w:bottom w:val="none" w:sz="0" w:space="0" w:color="auto"/>
        <w:right w:val="none" w:sz="0" w:space="0" w:color="auto"/>
      </w:divBdr>
    </w:div>
    <w:div w:id="1545485198">
      <w:bodyDiv w:val="1"/>
      <w:marLeft w:val="0"/>
      <w:marRight w:val="0"/>
      <w:marTop w:val="0"/>
      <w:marBottom w:val="0"/>
      <w:divBdr>
        <w:top w:val="none" w:sz="0" w:space="0" w:color="auto"/>
        <w:left w:val="none" w:sz="0" w:space="0" w:color="auto"/>
        <w:bottom w:val="none" w:sz="0" w:space="0" w:color="auto"/>
        <w:right w:val="none" w:sz="0" w:space="0" w:color="auto"/>
      </w:divBdr>
    </w:div>
    <w:div w:id="173115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C7323-E936-4A11-B6EB-0610ED26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Pashley, Kayleigh - (Administration Assistant)</dc:creator>
  <cp:keywords/>
  <dc:description/>
  <cp:lastModifiedBy>Pashley, Kayleigh - (Administration Assistant)</cp:lastModifiedBy>
  <cp:revision>2</cp:revision>
  <cp:lastPrinted>2021-05-25T14:35:00Z</cp:lastPrinted>
  <dcterms:created xsi:type="dcterms:W3CDTF">2021-06-09T10:46:00Z</dcterms:created>
  <dcterms:modified xsi:type="dcterms:W3CDTF">2021-06-09T10:46:00Z</dcterms:modified>
</cp:coreProperties>
</file>